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FF" w:rsidRPr="00B934AD" w:rsidRDefault="00F340FF" w:rsidP="00B9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934AD">
        <w:rPr>
          <w:b/>
        </w:rPr>
        <w:t xml:space="preserve">Els ítems que contè aquest document no </w:t>
      </w:r>
      <w:r w:rsidR="00F55BEF">
        <w:rPr>
          <w:b/>
        </w:rPr>
        <w:t>pretenen ser</w:t>
      </w:r>
      <w:r w:rsidRPr="00B934AD">
        <w:rPr>
          <w:b/>
        </w:rPr>
        <w:t xml:space="preserve"> una relació obligatòria del que ha de contenir un Pla IMA de Centre. </w:t>
      </w:r>
      <w:r w:rsidR="00F55BEF">
        <w:rPr>
          <w:b/>
        </w:rPr>
        <w:t>La seva intenció é</w:t>
      </w:r>
      <w:r w:rsidRPr="00B934AD">
        <w:rPr>
          <w:b/>
        </w:rPr>
        <w:t xml:space="preserve">s orientativa </w:t>
      </w:r>
      <w:r w:rsidR="00F55BEF">
        <w:rPr>
          <w:b/>
        </w:rPr>
        <w:t xml:space="preserve">sobre el seu contingut </w:t>
      </w:r>
      <w:r w:rsidRPr="00B934AD">
        <w:rPr>
          <w:b/>
        </w:rPr>
        <w:t>a</w:t>
      </w:r>
      <w:r w:rsidR="00804CDE">
        <w:rPr>
          <w:b/>
        </w:rPr>
        <w:t xml:space="preserve">mb la intenció </w:t>
      </w:r>
      <w:r w:rsidRPr="00B934AD">
        <w:rPr>
          <w:b/>
        </w:rPr>
        <w:t xml:space="preserve">d’aproximar els diversos Plans </w:t>
      </w:r>
      <w:r w:rsidR="00804CDE">
        <w:rPr>
          <w:b/>
        </w:rPr>
        <w:t>d’</w:t>
      </w:r>
      <w:r w:rsidR="00B606FE">
        <w:rPr>
          <w:b/>
        </w:rPr>
        <w:t>Atenció intermèdia</w:t>
      </w:r>
      <w:r w:rsidR="00804CDE">
        <w:rPr>
          <w:b/>
        </w:rPr>
        <w:t xml:space="preserve"> </w:t>
      </w:r>
      <w:r w:rsidRPr="00B934AD">
        <w:rPr>
          <w:b/>
        </w:rPr>
        <w:t>de la ciutat</w:t>
      </w:r>
      <w:r w:rsidR="00A34FA7">
        <w:rPr>
          <w:b/>
        </w:rPr>
        <w:t xml:space="preserve"> des d</w:t>
      </w:r>
      <w:r w:rsidR="00804CDE">
        <w:rPr>
          <w:b/>
        </w:rPr>
        <w:t>’una</w:t>
      </w:r>
      <w:r w:rsidR="00A34FA7">
        <w:rPr>
          <w:b/>
        </w:rPr>
        <w:t xml:space="preserve"> perspectiva territorial</w:t>
      </w:r>
      <w:r w:rsidRPr="00B934AD">
        <w:rPr>
          <w:b/>
        </w:rPr>
        <w:t>.</w:t>
      </w:r>
    </w:p>
    <w:p w:rsidR="00F340FF" w:rsidRDefault="00F340FF" w:rsidP="00FB0FE9">
      <w:pPr>
        <w:spacing w:after="0" w:line="240" w:lineRule="auto"/>
      </w:pPr>
    </w:p>
    <w:p w:rsidR="0061043C" w:rsidRDefault="0061043C" w:rsidP="00FB0FE9">
      <w:pPr>
        <w:spacing w:after="0" w:line="240" w:lineRule="auto"/>
      </w:pPr>
      <w:bookmarkStart w:id="0" w:name="_GoBack"/>
      <w:r>
        <w:t>Es recomana estructurar el Pla en base a fitxes de responsabilitats i relacions per cada fun</w:t>
      </w:r>
      <w:r w:rsidR="00510184">
        <w:t>c</w:t>
      </w:r>
      <w:r>
        <w:t xml:space="preserve">ió i </w:t>
      </w:r>
      <w:bookmarkEnd w:id="0"/>
      <w:r>
        <w:t>tipologia professional.</w:t>
      </w:r>
    </w:p>
    <w:p w:rsidR="0061043C" w:rsidRDefault="0061043C" w:rsidP="00FB0FE9">
      <w:pPr>
        <w:spacing w:after="0" w:line="240" w:lineRule="auto"/>
      </w:pPr>
    </w:p>
    <w:p w:rsidR="00EA0098" w:rsidRPr="00A57125" w:rsidRDefault="00FB0FE9" w:rsidP="00FB0FE9">
      <w:pPr>
        <w:spacing w:after="0" w:line="240" w:lineRule="auto"/>
      </w:pPr>
      <w:r>
        <w:t xml:space="preserve">Interlocutor </w:t>
      </w:r>
      <w:r w:rsidR="00EA0098" w:rsidRPr="00A57125">
        <w:t xml:space="preserve">responsable </w:t>
      </w:r>
      <w:r w:rsidR="005B100F">
        <w:t>(es recomana un màxim de dos)</w:t>
      </w:r>
    </w:p>
    <w:p w:rsidR="00EA0098" w:rsidRPr="00A57125" w:rsidRDefault="005B100F" w:rsidP="00FB0FE9">
      <w:pPr>
        <w:numPr>
          <w:ilvl w:val="0"/>
          <w:numId w:val="1"/>
        </w:numPr>
        <w:spacing w:after="0" w:line="240" w:lineRule="auto"/>
      </w:pPr>
      <w:r>
        <w:t>p</w:t>
      </w:r>
      <w:r w:rsidR="00FB0FE9">
        <w:t>erfil</w:t>
      </w:r>
      <w:r w:rsidR="00B606FE">
        <w:t xml:space="preserve"> i </w:t>
      </w:r>
      <w:r w:rsidR="00EA0098" w:rsidRPr="00A57125">
        <w:t>apoderament</w:t>
      </w:r>
    </w:p>
    <w:p w:rsidR="00EA0098" w:rsidRDefault="00EA0098" w:rsidP="00FB0FE9">
      <w:pPr>
        <w:numPr>
          <w:ilvl w:val="0"/>
          <w:numId w:val="1"/>
        </w:numPr>
        <w:spacing w:after="0" w:line="240" w:lineRule="auto"/>
      </w:pPr>
      <w:r w:rsidRPr="00A57125">
        <w:t>línies i límits d’actuació</w:t>
      </w:r>
    </w:p>
    <w:p w:rsidR="00804CDE" w:rsidRDefault="00804CDE" w:rsidP="00804CDE">
      <w:pPr>
        <w:pStyle w:val="Prrafodelista"/>
        <w:numPr>
          <w:ilvl w:val="0"/>
          <w:numId w:val="1"/>
        </w:numPr>
        <w:spacing w:after="0" w:line="240" w:lineRule="auto"/>
      </w:pPr>
      <w:r w:rsidRPr="00675D38">
        <w:t xml:space="preserve">sistemes de comunicació externa </w:t>
      </w:r>
      <w:r>
        <w:t xml:space="preserve">i interna de </w:t>
      </w:r>
      <w:r w:rsidRPr="00675D38">
        <w:t xml:space="preserve">que disposa </w:t>
      </w:r>
      <w:r>
        <w:t>el</w:t>
      </w:r>
      <w:r w:rsidRPr="00675D38">
        <w:t xml:space="preserve"> centre</w:t>
      </w:r>
    </w:p>
    <w:p w:rsidR="00EE40AD" w:rsidRPr="00A57125" w:rsidRDefault="00804CDE" w:rsidP="00B606FE">
      <w:pPr>
        <w:numPr>
          <w:ilvl w:val="0"/>
          <w:numId w:val="1"/>
        </w:numPr>
        <w:spacing w:after="0" w:line="240" w:lineRule="auto"/>
      </w:pPr>
      <w:r>
        <w:t>línia d’activació</w:t>
      </w:r>
    </w:p>
    <w:p w:rsidR="00FB0FE9" w:rsidRDefault="00FB0FE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A57125">
        <w:t xml:space="preserve">oordinació amb </w:t>
      </w:r>
      <w:r w:rsidR="00B606FE">
        <w:t xml:space="preserve">l’Hospital de referència </w:t>
      </w:r>
      <w:r w:rsidR="00EA0098">
        <w:t>i amb</w:t>
      </w:r>
      <w:r>
        <w:t xml:space="preserve"> el</w:t>
      </w:r>
      <w:r w:rsidR="00EA0098" w:rsidRPr="002D6034">
        <w:t xml:space="preserve"> comandament territorial</w:t>
      </w:r>
      <w:r w:rsidR="00E35D03">
        <w:t xml:space="preserve"> durant tot l’</w:t>
      </w:r>
      <w:r w:rsidR="00804CDE">
        <w:t>I</w:t>
      </w:r>
      <w:r w:rsidR="0005087C">
        <w:t>MA</w:t>
      </w:r>
    </w:p>
    <w:p w:rsidR="00804CDE" w:rsidRPr="002D6034" w:rsidRDefault="00E35D03" w:rsidP="00804CDE">
      <w:pPr>
        <w:pStyle w:val="Prrafodelista"/>
        <w:numPr>
          <w:ilvl w:val="0"/>
          <w:numId w:val="1"/>
        </w:numPr>
        <w:spacing w:after="0" w:line="240" w:lineRule="auto"/>
      </w:pPr>
      <w:r>
        <w:t>interlocu</w:t>
      </w:r>
      <w:r w:rsidR="00804CDE">
        <w:t>ció</w:t>
      </w:r>
      <w:r w:rsidR="00B606FE">
        <w:t xml:space="preserve"> i </w:t>
      </w:r>
      <w:r w:rsidR="00804CDE">
        <w:t>mecanisme de  comunicació instantània i constant</w:t>
      </w:r>
    </w:p>
    <w:p w:rsidR="00FB0FE9" w:rsidRDefault="00FB0FE9" w:rsidP="00FB0FE9">
      <w:pPr>
        <w:spacing w:after="0" w:line="240" w:lineRule="auto"/>
      </w:pPr>
    </w:p>
    <w:p w:rsidR="00EC35FB" w:rsidRPr="00CF3AD7" w:rsidRDefault="00EC35FB" w:rsidP="00EC35FB">
      <w:pPr>
        <w:spacing w:after="0" w:line="240" w:lineRule="auto"/>
        <w:contextualSpacing/>
      </w:pPr>
      <w:r>
        <w:t xml:space="preserve">Límits del </w:t>
      </w:r>
      <w:r w:rsidR="005B100F">
        <w:t>suport</w:t>
      </w:r>
      <w:r w:rsidR="00656FD9">
        <w:t>. Aspectes sanitaris i assistencials</w:t>
      </w:r>
    </w:p>
    <w:p w:rsidR="00B606FE" w:rsidRDefault="00B606FE" w:rsidP="00EC35FB">
      <w:pPr>
        <w:numPr>
          <w:ilvl w:val="0"/>
          <w:numId w:val="1"/>
        </w:numPr>
        <w:spacing w:after="0" w:line="240" w:lineRule="auto"/>
        <w:contextualSpacing/>
      </w:pPr>
      <w:r>
        <w:t>terminis</w:t>
      </w:r>
    </w:p>
    <w:p w:rsidR="00B606FE" w:rsidRDefault="00B606FE" w:rsidP="00EC35FB">
      <w:pPr>
        <w:numPr>
          <w:ilvl w:val="0"/>
          <w:numId w:val="1"/>
        </w:numPr>
        <w:spacing w:after="0" w:line="240" w:lineRule="auto"/>
        <w:contextualSpacing/>
      </w:pPr>
      <w:r>
        <w:t>condicions</w:t>
      </w:r>
    </w:p>
    <w:p w:rsidR="00B606FE" w:rsidRDefault="00B606FE" w:rsidP="00EC35FB">
      <w:pPr>
        <w:numPr>
          <w:ilvl w:val="0"/>
          <w:numId w:val="1"/>
        </w:numPr>
        <w:spacing w:after="0" w:line="240" w:lineRule="auto"/>
        <w:contextualSpacing/>
      </w:pPr>
      <w:r>
        <w:t>farmàcia</w:t>
      </w:r>
    </w:p>
    <w:p w:rsidR="005122D7" w:rsidRDefault="00656FD9" w:rsidP="00656FD9">
      <w:pPr>
        <w:pStyle w:val="Prrafodelista"/>
        <w:numPr>
          <w:ilvl w:val="0"/>
          <w:numId w:val="11"/>
        </w:numPr>
        <w:spacing w:after="0" w:line="240" w:lineRule="auto"/>
      </w:pPr>
      <w:r>
        <w:t>xarxa territorial</w:t>
      </w:r>
    </w:p>
    <w:p w:rsidR="00656FD9" w:rsidRDefault="00656FD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2D6034">
        <w:t>omitè de crisi</w:t>
      </w:r>
      <w:r w:rsidR="00EA0098">
        <w:t xml:space="preserve">: </w:t>
      </w:r>
      <w:r w:rsidR="00EA0098" w:rsidRPr="002D6034">
        <w:t>línia interna de comandament de</w:t>
      </w:r>
      <w:r w:rsidR="00B606FE">
        <w:t>l suport</w:t>
      </w:r>
    </w:p>
    <w:p w:rsidR="006E5AC5" w:rsidRDefault="006E5AC5" w:rsidP="00FB0FE9">
      <w:pPr>
        <w:spacing w:after="0" w:line="240" w:lineRule="auto"/>
      </w:pPr>
    </w:p>
    <w:p w:rsidR="00EA0098" w:rsidRPr="002D6034" w:rsidRDefault="00C060CF" w:rsidP="00FB0FE9">
      <w:pPr>
        <w:spacing w:after="0" w:line="240" w:lineRule="auto"/>
      </w:pPr>
      <w:r>
        <w:t>F</w:t>
      </w:r>
      <w:r w:rsidR="00EA0098">
        <w:t>unció</w:t>
      </w:r>
      <w:r w:rsidR="00EA0098" w:rsidRPr="002D6034">
        <w:t xml:space="preserve"> d’Admissions</w:t>
      </w:r>
    </w:p>
    <w:p w:rsidR="00C841B8" w:rsidRDefault="00C841B8" w:rsidP="00C060CF">
      <w:pPr>
        <w:numPr>
          <w:ilvl w:val="0"/>
          <w:numId w:val="1"/>
        </w:numPr>
        <w:spacing w:after="0" w:line="240" w:lineRule="auto"/>
      </w:pPr>
      <w:r>
        <w:t>identificació unívoca d</w:t>
      </w:r>
      <w:r w:rsidR="006C4CD8">
        <w:t>’afectats</w:t>
      </w:r>
      <w:r w:rsidR="00D222CE">
        <w:t xml:space="preserve">, </w:t>
      </w:r>
      <w:r w:rsidR="00D222CE" w:rsidRPr="002D6034">
        <w:t>traçabilitat</w:t>
      </w:r>
    </w:p>
    <w:p w:rsidR="000D777D" w:rsidRDefault="000D777D" w:rsidP="00C060CF">
      <w:pPr>
        <w:numPr>
          <w:ilvl w:val="0"/>
          <w:numId w:val="1"/>
        </w:numPr>
        <w:spacing w:after="0" w:line="240" w:lineRule="auto"/>
      </w:pPr>
      <w:r>
        <w:t xml:space="preserve">planificació dels trasllats interhospitalaris </w:t>
      </w:r>
    </w:p>
    <w:p w:rsidR="00C060CF" w:rsidRDefault="00C060CF" w:rsidP="00C060CF">
      <w:pPr>
        <w:spacing w:after="0" w:line="240" w:lineRule="auto"/>
      </w:pPr>
    </w:p>
    <w:p w:rsidR="00C060CF" w:rsidRDefault="00C060CF" w:rsidP="00C060CF">
      <w:pPr>
        <w:spacing w:after="0" w:line="240" w:lineRule="auto"/>
      </w:pPr>
      <w:r>
        <w:t xml:space="preserve">Capacitat de </w:t>
      </w:r>
      <w:r w:rsidR="005B100F">
        <w:t>suport</w:t>
      </w:r>
    </w:p>
    <w:p w:rsidR="00FB2A0B" w:rsidRDefault="00FB2A0B" w:rsidP="00FB2A0B">
      <w:pPr>
        <w:numPr>
          <w:ilvl w:val="0"/>
          <w:numId w:val="7"/>
        </w:numPr>
        <w:tabs>
          <w:tab w:val="num" w:pos="1134"/>
        </w:tabs>
        <w:spacing w:after="0" w:line="240" w:lineRule="auto"/>
      </w:pPr>
      <w:r w:rsidRPr="002D6034">
        <w:t>paper de l</w:t>
      </w:r>
      <w:r>
        <w:t>es</w:t>
      </w:r>
      <w:r w:rsidRPr="002D6034">
        <w:t xml:space="preserve"> UFISS</w:t>
      </w:r>
      <w:r>
        <w:t>, Geriatria, ...</w:t>
      </w:r>
    </w:p>
    <w:p w:rsidR="006409CA" w:rsidRDefault="006409CA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t>conversió de tipologia</w:t>
      </w:r>
    </w:p>
    <w:p w:rsidR="006409CA" w:rsidRDefault="006409CA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criteris d’altra i transferència a altres dispositius</w:t>
      </w:r>
    </w:p>
    <w:p w:rsidR="00251BB3" w:rsidRDefault="00251BB3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professionals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 xml:space="preserve">mobilització 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gestió de voluntaris</w:t>
      </w:r>
      <w:r w:rsidR="00EC0361">
        <w:t xml:space="preserve"> coneguts i desconeguts</w:t>
      </w:r>
    </w:p>
    <w:p w:rsidR="00EA0098" w:rsidRDefault="00EC35FB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gestió</w:t>
      </w:r>
      <w:r w:rsidR="00EA0098" w:rsidRPr="002D6034">
        <w:t xml:space="preserve"> </w:t>
      </w:r>
      <w:r w:rsidR="00804CDE">
        <w:t xml:space="preserve">IMA </w:t>
      </w:r>
      <w:r w:rsidR="00EA0098" w:rsidRPr="002D6034">
        <w:t>de</w:t>
      </w:r>
      <w:r>
        <w:t>ls</w:t>
      </w:r>
      <w:r w:rsidR="00EA0098" w:rsidRPr="002D6034">
        <w:t xml:space="preserve"> recursos físics, aparellatge, farmàcia, material sanitari, ...</w:t>
      </w:r>
    </w:p>
    <w:p w:rsidR="00445A68" w:rsidRDefault="00445A68" w:rsidP="00445A68">
      <w:pPr>
        <w:numPr>
          <w:ilvl w:val="0"/>
          <w:numId w:val="1"/>
        </w:numPr>
        <w:spacing w:after="0" w:line="240" w:lineRule="auto"/>
      </w:pPr>
      <w:r>
        <w:t>capítol pressupostari</w:t>
      </w:r>
      <w:r w:rsidR="00251BB3">
        <w:t xml:space="preserve"> </w:t>
      </w:r>
      <w:r w:rsidR="00A50761">
        <w:t>estimat</w:t>
      </w:r>
    </w:p>
    <w:p w:rsidR="00110BE6" w:rsidRDefault="00110BE6" w:rsidP="00110BE6">
      <w:pPr>
        <w:pStyle w:val="Prrafodelista"/>
        <w:spacing w:after="0" w:line="240" w:lineRule="auto"/>
        <w:ind w:left="360"/>
        <w:contextualSpacing w:val="0"/>
        <w:jc w:val="both"/>
      </w:pPr>
    </w:p>
    <w:p w:rsidR="00EA0098" w:rsidRPr="002D6034" w:rsidRDefault="00921C93" w:rsidP="00921C93">
      <w:pPr>
        <w:spacing w:after="0" w:line="240" w:lineRule="auto"/>
        <w:jc w:val="both"/>
      </w:pPr>
      <w:r>
        <w:t>A</w:t>
      </w:r>
      <w:r w:rsidR="00EA0098" w:rsidRPr="002D6034">
        <w:t>bsorció de les conseqüències i retorn a la normalitat</w:t>
      </w:r>
      <w:r w:rsidR="0096084B">
        <w:t xml:space="preserve">. Criteris </w:t>
      </w:r>
      <w:r w:rsidR="009C5A13">
        <w:t xml:space="preserve">i cronograma </w:t>
      </w:r>
      <w:r w:rsidR="0096084B">
        <w:t>de</w:t>
      </w:r>
    </w:p>
    <w:p w:rsidR="0096084B" w:rsidRDefault="0096084B" w:rsidP="00921C9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de </w:t>
      </w:r>
      <w:r w:rsidR="00EA0098" w:rsidRPr="002D6034">
        <w:t xml:space="preserve">retorn </w:t>
      </w:r>
      <w:r>
        <w:t>a la normalitat</w:t>
      </w:r>
      <w:r w:rsidR="009E7B58">
        <w:t>, reversió de decisions IM</w:t>
      </w:r>
      <w:r w:rsidR="00921C93">
        <w:t>A</w:t>
      </w:r>
    </w:p>
    <w:p w:rsidR="00A50761" w:rsidRDefault="0096084B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avaluació de</w:t>
      </w:r>
      <w:r w:rsidR="007D141F">
        <w:t>l suport</w:t>
      </w:r>
      <w:r>
        <w:t xml:space="preserve"> IM</w:t>
      </w:r>
      <w:r w:rsidR="00921C93">
        <w:t>A</w:t>
      </w:r>
    </w:p>
    <w:p w:rsidR="0096084B" w:rsidRDefault="00251BB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revisió i actualització </w:t>
      </w:r>
      <w:r w:rsidR="0096084B">
        <w:t>del Pla IM</w:t>
      </w:r>
      <w:r w:rsidR="00921C93">
        <w:t>A</w:t>
      </w:r>
    </w:p>
    <w:p w:rsidR="00251BB3" w:rsidRPr="002D6034" w:rsidRDefault="00251BB3" w:rsidP="00251BB3">
      <w:pPr>
        <w:spacing w:after="0" w:line="240" w:lineRule="auto"/>
        <w:jc w:val="both"/>
      </w:pPr>
    </w:p>
    <w:p w:rsidR="00EA0098" w:rsidRDefault="00EA0098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</w:p>
    <w:p w:rsidR="006E3879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Responsable/s del Pla</w:t>
      </w:r>
    </w:p>
    <w:p w:rsidR="006E3879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Data de revisió</w:t>
      </w:r>
    </w:p>
    <w:sectPr w:rsidR="006E3879" w:rsidSect="007F7FED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EE" w:rsidRDefault="00B73AEE" w:rsidP="009B2819">
      <w:pPr>
        <w:spacing w:after="0" w:line="240" w:lineRule="auto"/>
      </w:pPr>
      <w:r>
        <w:separator/>
      </w:r>
    </w:p>
  </w:endnote>
  <w:endnote w:type="continuationSeparator" w:id="0">
    <w:p w:rsidR="00B73AEE" w:rsidRDefault="00B73AEE" w:rsidP="009B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30B" w:rsidRDefault="00E7030B">
    <w:pPr>
      <w:pStyle w:val="Piedepgina"/>
    </w:pPr>
    <w:r>
      <w:t xml:space="preserve">Data de </w:t>
    </w:r>
    <w:r w:rsidR="002945EB">
      <w:t xml:space="preserve">la darrera </w:t>
    </w:r>
    <w:r>
      <w:t>revisió</w:t>
    </w:r>
    <w:r w:rsidR="002945EB">
      <w:t>:</w:t>
    </w:r>
    <w:r>
      <w:t xml:space="preserve"> </w:t>
    </w:r>
    <w:r>
      <w:fldChar w:fldCharType="begin"/>
    </w:r>
    <w:r>
      <w:instrText xml:space="preserve"> TIME \@ "dddd, d MMMM 'de' yyyy" </w:instrText>
    </w:r>
    <w:r>
      <w:fldChar w:fldCharType="separate"/>
    </w:r>
    <w:r w:rsidR="005D4FAC">
      <w:t>divendres, 28 setembre de 2018</w:t>
    </w:r>
    <w:r>
      <w:fldChar w:fldCharType="end"/>
    </w:r>
    <w:r>
      <w:ptab w:relativeTo="margin" w:alignment="right" w:leader="none"/>
    </w:r>
    <w:r>
      <w:t>Revisor: DCP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EE" w:rsidRDefault="00B73AEE" w:rsidP="009B2819">
      <w:pPr>
        <w:spacing w:after="0" w:line="240" w:lineRule="auto"/>
      </w:pPr>
      <w:r>
        <w:separator/>
      </w:r>
    </w:p>
  </w:footnote>
  <w:footnote w:type="continuationSeparator" w:id="0">
    <w:p w:rsidR="00B73AEE" w:rsidRDefault="00B73AEE" w:rsidP="009B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6E5" w:rsidRPr="007967BB" w:rsidRDefault="00B73AEE" w:rsidP="00B83A68">
    <w:pPr>
      <w:pStyle w:val="Encabezado"/>
      <w:rPr>
        <w:rFonts w:cstheme="minorHAnsi"/>
        <w:b/>
        <w:sz w:val="28"/>
        <w:szCs w:val="28"/>
      </w:rPr>
    </w:pPr>
    <w:sdt>
      <w:sdtPr>
        <w:rPr>
          <w:rFonts w:cstheme="minorHAnsi"/>
          <w:b/>
          <w:sz w:val="32"/>
          <w:szCs w:val="32"/>
        </w:rPr>
        <w:id w:val="-1656911889"/>
        <w:docPartObj>
          <w:docPartGallery w:val="Page Numbers (Margins)"/>
          <w:docPartUnique/>
        </w:docPartObj>
      </w:sdtPr>
      <w:sdtEndPr/>
      <w:sdtContent>
        <w:r w:rsidR="00F55BEF">
          <w:rPr>
            <w:rFonts w:asciiTheme="majorHAnsi" w:eastAsiaTheme="majorEastAsia" w:hAnsiTheme="majorHAnsi" w:cstheme="majorBidi"/>
            <w:b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30B" w:rsidRDefault="00E7030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5FCF" w:rsidRPr="00B55FCF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26" style="position:absolute;margin-left:0;margin-top:0;width:37.6pt;height:37.6pt;z-index:25167872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NQ3tfV1AgAA7g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E7030B" w:rsidRDefault="00E7030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5FCF" w:rsidRPr="00B55FCF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83A68" w:rsidRPr="00AA6B1F">
      <w:rPr>
        <w:rFonts w:cstheme="minorHAnsi"/>
        <w:b/>
        <w:sz w:val="32"/>
        <w:szCs w:val="32"/>
      </w:rPr>
      <w:drawing>
        <wp:anchor distT="0" distB="0" distL="114300" distR="114300" simplePos="0" relativeHeight="251657216" behindDoc="0" locked="0" layoutInCell="1" allowOverlap="1" wp14:anchorId="7E1FFE10" wp14:editId="3E6AFEDA">
          <wp:simplePos x="0" y="0"/>
          <wp:positionH relativeFrom="column">
            <wp:posOffset>1267203</wp:posOffset>
          </wp:positionH>
          <wp:positionV relativeFrom="paragraph">
            <wp:posOffset>38708</wp:posOffset>
          </wp:positionV>
          <wp:extent cx="360680" cy="335182"/>
          <wp:effectExtent l="0" t="0" r="0" b="0"/>
          <wp:wrapNone/>
          <wp:docPr id="65" name="Imatge 10" descr="IMA logo">
            <a:extLst xmlns:a="http://schemas.openxmlformats.org/drawingml/2006/main">
              <a:ext uri="{FF2B5EF4-FFF2-40B4-BE49-F238E27FC236}">
                <a16:creationId xmlns:a16="http://schemas.microsoft.com/office/drawing/2014/main" id="{82D8F135-53CA-463B-9C4B-F0929B7876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tge 10" descr="IMA logo">
                    <a:extLst>
                      <a:ext uri="{FF2B5EF4-FFF2-40B4-BE49-F238E27FC236}">
                        <a16:creationId xmlns:a16="http://schemas.microsoft.com/office/drawing/2014/main" id="{82D8F135-53CA-463B-9C4B-F0929B7876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33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68" w:rsidRPr="00B83A68">
      <w:rPr>
        <w:rFonts w:cstheme="minorHAnsi"/>
        <w:b/>
        <w:sz w:val="32"/>
        <w:szCs w:val="32"/>
      </w:rPr>
      <w:drawing>
        <wp:inline distT="0" distB="0" distL="0" distR="0" wp14:anchorId="632ACADE" wp14:editId="01089F4E">
          <wp:extent cx="958175" cy="276888"/>
          <wp:effectExtent l="0" t="0" r="0" b="0"/>
          <wp:docPr id="6146" name="Picture 2" descr="Resultat d'imatges de consorci d'educació de barcelona">
            <a:extLst xmlns:a="http://schemas.openxmlformats.org/drawingml/2006/main">
              <a:ext uri="{FF2B5EF4-FFF2-40B4-BE49-F238E27FC236}">
                <a16:creationId xmlns:a16="http://schemas.microsoft.com/office/drawing/2014/main" id="{E946BD03-5FFF-457B-BFD8-C1FD42E55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Resultat d'imatges de consorci d'educació de barcelona">
                    <a:extLst>
                      <a:ext uri="{FF2B5EF4-FFF2-40B4-BE49-F238E27FC236}">
                        <a16:creationId xmlns:a16="http://schemas.microsoft.com/office/drawing/2014/main" id="{E946BD03-5FFF-457B-BFD8-C1FD42E55E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30162" r="6759" b="28465"/>
                  <a:stretch/>
                </pic:blipFill>
                <pic:spPr bwMode="auto">
                  <a:xfrm>
                    <a:off x="0" y="0"/>
                    <a:ext cx="1056071" cy="3051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9B2819" w:rsidRPr="007967BB">
      <w:rPr>
        <w:rFonts w:cstheme="minorHAnsi"/>
        <w:b/>
        <w:sz w:val="28"/>
        <w:szCs w:val="28"/>
      </w:rPr>
      <w:t>Pla</w:t>
    </w:r>
    <w:r w:rsidR="00AA6B1F" w:rsidRPr="007967BB">
      <w:rPr>
        <w:rFonts w:cstheme="minorHAnsi"/>
        <w:b/>
        <w:sz w:val="28"/>
        <w:szCs w:val="28"/>
      </w:rPr>
      <w:t xml:space="preserve"> </w:t>
    </w:r>
    <w:r w:rsidR="00B83A68" w:rsidRPr="007967BB">
      <w:rPr>
        <w:rFonts w:cstheme="minorHAnsi"/>
        <w:b/>
        <w:sz w:val="28"/>
        <w:szCs w:val="28"/>
      </w:rPr>
      <w:t xml:space="preserve">        </w:t>
    </w:r>
    <w:r w:rsidR="00B606FE">
      <w:rPr>
        <w:rFonts w:cstheme="minorHAnsi"/>
        <w:b/>
        <w:sz w:val="28"/>
        <w:szCs w:val="28"/>
      </w:rPr>
      <w:t xml:space="preserve">   </w:t>
    </w:r>
    <w:r w:rsidR="009B2819" w:rsidRPr="007967BB">
      <w:rPr>
        <w:rFonts w:cstheme="minorHAnsi"/>
        <w:b/>
        <w:sz w:val="28"/>
        <w:szCs w:val="28"/>
      </w:rPr>
      <w:t>d’</w:t>
    </w:r>
    <w:r w:rsidR="007967BB" w:rsidRPr="007967BB">
      <w:rPr>
        <w:rFonts w:cstheme="minorHAnsi"/>
        <w:b/>
        <w:sz w:val="28"/>
        <w:szCs w:val="28"/>
      </w:rPr>
      <w:t>Atenció intermèdia</w:t>
    </w:r>
    <w:r w:rsidR="00F55BEF" w:rsidRPr="007967BB">
      <w:rPr>
        <w:rFonts w:cstheme="minorHAnsi"/>
        <w:b/>
        <w:sz w:val="28"/>
        <w:szCs w:val="28"/>
      </w:rPr>
      <w:t xml:space="preserve">. Contingut mínim </w:t>
    </w:r>
    <w:r w:rsidR="005D4FAC">
      <w:rPr>
        <w:rFonts w:cstheme="minorHAnsi"/>
        <w:b/>
        <w:sz w:val="28"/>
        <w:szCs w:val="28"/>
      </w:rPr>
      <w:t>aconsellat</w:t>
    </w:r>
    <w:r w:rsidR="00F55BEF" w:rsidRPr="007967BB">
      <w:rPr>
        <w:rFonts w:cstheme="minorHAnsi"/>
        <w:b/>
        <w:sz w:val="28"/>
        <w:szCs w:val="28"/>
      </w:rPr>
      <w:t>.</w:t>
    </w:r>
  </w:p>
  <w:p w:rsidR="009B2819" w:rsidRPr="00F93E02" w:rsidRDefault="00B73AEE" w:rsidP="00B83A68">
    <w:pPr>
      <w:pStyle w:val="Encabezado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270"/>
    <w:multiLevelType w:val="hybridMultilevel"/>
    <w:tmpl w:val="6D5A7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126"/>
    <w:multiLevelType w:val="hybridMultilevel"/>
    <w:tmpl w:val="2638B4DE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85539"/>
    <w:multiLevelType w:val="hybridMultilevel"/>
    <w:tmpl w:val="7EB21A3A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BE7176"/>
    <w:multiLevelType w:val="hybridMultilevel"/>
    <w:tmpl w:val="3268327A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7724"/>
    <w:multiLevelType w:val="hybridMultilevel"/>
    <w:tmpl w:val="EA6A62B4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2EB3"/>
    <w:multiLevelType w:val="hybridMultilevel"/>
    <w:tmpl w:val="80B069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47891"/>
    <w:multiLevelType w:val="hybridMultilevel"/>
    <w:tmpl w:val="917CC43C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E7E4518"/>
    <w:multiLevelType w:val="hybridMultilevel"/>
    <w:tmpl w:val="DDC45172"/>
    <w:lvl w:ilvl="0" w:tplc="EB72FDD6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36447B"/>
    <w:multiLevelType w:val="hybridMultilevel"/>
    <w:tmpl w:val="F70C4240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49A1"/>
    <w:multiLevelType w:val="hybridMultilevel"/>
    <w:tmpl w:val="AF26B186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62EA0930"/>
    <w:multiLevelType w:val="hybridMultilevel"/>
    <w:tmpl w:val="2FE024C0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D06EC4"/>
    <w:multiLevelType w:val="hybridMultilevel"/>
    <w:tmpl w:val="CE065562"/>
    <w:lvl w:ilvl="0" w:tplc="EB72FD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DA6850">
      <w:start w:val="115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4AE2B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5A2E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1EE3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8CC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18CA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7A43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ACC7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4826D37"/>
    <w:multiLevelType w:val="hybridMultilevel"/>
    <w:tmpl w:val="67B4CE1C"/>
    <w:lvl w:ilvl="0" w:tplc="85AE0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0AAA">
      <w:start w:val="13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021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1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7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E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7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87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8"/>
    <w:rsid w:val="000275DE"/>
    <w:rsid w:val="0004485B"/>
    <w:rsid w:val="0005087C"/>
    <w:rsid w:val="000B1B4C"/>
    <w:rsid w:val="000B6476"/>
    <w:rsid w:val="000D777D"/>
    <w:rsid w:val="000E0F19"/>
    <w:rsid w:val="00110BE6"/>
    <w:rsid w:val="001707F2"/>
    <w:rsid w:val="001B6ADC"/>
    <w:rsid w:val="0020566C"/>
    <w:rsid w:val="00251BB3"/>
    <w:rsid w:val="00261DC9"/>
    <w:rsid w:val="002671EA"/>
    <w:rsid w:val="0027101D"/>
    <w:rsid w:val="00272C3F"/>
    <w:rsid w:val="002945EB"/>
    <w:rsid w:val="002D1F72"/>
    <w:rsid w:val="002F2729"/>
    <w:rsid w:val="00317580"/>
    <w:rsid w:val="00327FE6"/>
    <w:rsid w:val="003558BB"/>
    <w:rsid w:val="0038423D"/>
    <w:rsid w:val="00391B13"/>
    <w:rsid w:val="003A49EA"/>
    <w:rsid w:val="003B4168"/>
    <w:rsid w:val="004121FD"/>
    <w:rsid w:val="00441392"/>
    <w:rsid w:val="004415F4"/>
    <w:rsid w:val="00445A68"/>
    <w:rsid w:val="0047698F"/>
    <w:rsid w:val="004D504F"/>
    <w:rsid w:val="004E0418"/>
    <w:rsid w:val="00510184"/>
    <w:rsid w:val="005122D7"/>
    <w:rsid w:val="00523B3D"/>
    <w:rsid w:val="00526AFD"/>
    <w:rsid w:val="00543054"/>
    <w:rsid w:val="005B100F"/>
    <w:rsid w:val="005B7EDD"/>
    <w:rsid w:val="005D4FAC"/>
    <w:rsid w:val="005D6840"/>
    <w:rsid w:val="0061043C"/>
    <w:rsid w:val="0063413D"/>
    <w:rsid w:val="006409CA"/>
    <w:rsid w:val="00656FD9"/>
    <w:rsid w:val="006747ED"/>
    <w:rsid w:val="006A6DD7"/>
    <w:rsid w:val="006C4CD8"/>
    <w:rsid w:val="006E3879"/>
    <w:rsid w:val="006E5AC5"/>
    <w:rsid w:val="00713535"/>
    <w:rsid w:val="00795AE7"/>
    <w:rsid w:val="007967BB"/>
    <w:rsid w:val="007D0CF5"/>
    <w:rsid w:val="007D141F"/>
    <w:rsid w:val="007F7FED"/>
    <w:rsid w:val="00804CDE"/>
    <w:rsid w:val="0084729F"/>
    <w:rsid w:val="008624C8"/>
    <w:rsid w:val="0086480C"/>
    <w:rsid w:val="008A35A9"/>
    <w:rsid w:val="008D1E56"/>
    <w:rsid w:val="008E4C2C"/>
    <w:rsid w:val="008E5B54"/>
    <w:rsid w:val="00921C93"/>
    <w:rsid w:val="0096084B"/>
    <w:rsid w:val="009754E0"/>
    <w:rsid w:val="00985178"/>
    <w:rsid w:val="009B2819"/>
    <w:rsid w:val="009C5A13"/>
    <w:rsid w:val="009E7B58"/>
    <w:rsid w:val="00A21FFD"/>
    <w:rsid w:val="00A34FA7"/>
    <w:rsid w:val="00A50761"/>
    <w:rsid w:val="00A75020"/>
    <w:rsid w:val="00A84B1A"/>
    <w:rsid w:val="00AA6B1F"/>
    <w:rsid w:val="00AC6494"/>
    <w:rsid w:val="00AD00CA"/>
    <w:rsid w:val="00B55FCF"/>
    <w:rsid w:val="00B606FE"/>
    <w:rsid w:val="00B73AEE"/>
    <w:rsid w:val="00B83A68"/>
    <w:rsid w:val="00B934AD"/>
    <w:rsid w:val="00BF18E2"/>
    <w:rsid w:val="00C060CF"/>
    <w:rsid w:val="00C24246"/>
    <w:rsid w:val="00C418AA"/>
    <w:rsid w:val="00C841B8"/>
    <w:rsid w:val="00CB579A"/>
    <w:rsid w:val="00CC0180"/>
    <w:rsid w:val="00CE565F"/>
    <w:rsid w:val="00CE7EE0"/>
    <w:rsid w:val="00D222CE"/>
    <w:rsid w:val="00E35D03"/>
    <w:rsid w:val="00E62EFA"/>
    <w:rsid w:val="00E7030B"/>
    <w:rsid w:val="00E841F3"/>
    <w:rsid w:val="00EA0098"/>
    <w:rsid w:val="00EB569A"/>
    <w:rsid w:val="00EC0361"/>
    <w:rsid w:val="00EC35FB"/>
    <w:rsid w:val="00ED2CEF"/>
    <w:rsid w:val="00EE40AD"/>
    <w:rsid w:val="00F27819"/>
    <w:rsid w:val="00F340FF"/>
    <w:rsid w:val="00F55BEF"/>
    <w:rsid w:val="00F93E02"/>
    <w:rsid w:val="00FB0FE9"/>
    <w:rsid w:val="00FB2A0B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65BF"/>
  <w15:docId w15:val="{851971D3-490D-4EBB-B17F-75711840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098"/>
    <w:rPr>
      <w:rFonts w:eastAsiaTheme="minorEastAsia"/>
      <w:noProof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0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B6A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6ADC"/>
    <w:rPr>
      <w:rFonts w:eastAsiaTheme="minorEastAsia"/>
      <w:noProof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819"/>
    <w:rPr>
      <w:rFonts w:eastAsiaTheme="minorEastAsia"/>
      <w:noProof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819"/>
    <w:rPr>
      <w:rFonts w:eastAsiaTheme="minorEastAsia"/>
      <w:noProof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819"/>
    <w:rPr>
      <w:rFonts w:ascii="Tahoma" w:eastAsiaTheme="minorEastAsia" w:hAnsi="Tahoma" w:cs="Tahoma"/>
      <w:noProof/>
      <w:sz w:val="16"/>
      <w:szCs w:val="16"/>
      <w:lang w:val="ca-ES" w:eastAsia="ca-ES"/>
    </w:rPr>
  </w:style>
  <w:style w:type="character" w:styleId="Nmerodepgina">
    <w:name w:val="page number"/>
    <w:basedOn w:val="Fuentedeprrafopredeter"/>
    <w:uiPriority w:val="99"/>
    <w:unhideWhenUsed/>
    <w:rsid w:val="00E7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Delfí</dc:creator>
  <cp:lastModifiedBy>Delfi Cosialls Pueyo</cp:lastModifiedBy>
  <cp:revision>11</cp:revision>
  <cp:lastPrinted>2018-09-17T07:06:00Z</cp:lastPrinted>
  <dcterms:created xsi:type="dcterms:W3CDTF">2018-09-27T13:10:00Z</dcterms:created>
  <dcterms:modified xsi:type="dcterms:W3CDTF">2018-09-28T12:44:00Z</dcterms:modified>
</cp:coreProperties>
</file>